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371" w:type="dxa"/>
        <w:tblLayout w:type="fixed"/>
        <w:tblCellMar>
          <w:top w:w="55" w:type="dxa"/>
          <w:left w:w="55" w:type="dxa"/>
          <w:bottom w:w="55" w:type="dxa"/>
          <w:right w:w="55" w:type="dxa"/>
        </w:tblCellMar>
        <w:tblLook w:val="0000" w:firstRow="0" w:lastRow="0" w:firstColumn="0" w:lastColumn="0" w:noHBand="0" w:noVBand="0"/>
      </w:tblPr>
      <w:tblGrid>
        <w:gridCol w:w="3120"/>
        <w:gridCol w:w="3118"/>
        <w:gridCol w:w="4253"/>
      </w:tblGrid>
      <w:tr w:rsidR="000B53B7" w:rsidTr="00770187">
        <w:trPr>
          <w:trHeight w:val="1937"/>
        </w:trPr>
        <w:tc>
          <w:tcPr>
            <w:tcW w:w="3120" w:type="dxa"/>
            <w:tcBorders>
              <w:top w:val="single" w:sz="1" w:space="0" w:color="000000"/>
              <w:left w:val="single" w:sz="1" w:space="0" w:color="000000"/>
              <w:bottom w:val="single" w:sz="1" w:space="0" w:color="000000"/>
            </w:tcBorders>
          </w:tcPr>
          <w:p w:rsidR="000B53B7" w:rsidRDefault="000B53B7" w:rsidP="002A1F4D">
            <w:pPr>
              <w:pStyle w:val="Contenutotabella"/>
              <w:jc w:val="center"/>
            </w:pPr>
            <w:bookmarkStart w:id="0" w:name="_GoBack"/>
            <w:bookmarkEnd w:id="0"/>
            <w:r>
              <w:rPr>
                <w:noProof/>
                <w:lang w:eastAsia="it-IT"/>
              </w:rPr>
              <w:drawing>
                <wp:anchor distT="0" distB="0" distL="0" distR="0" simplePos="0" relativeHeight="251660288" behindDoc="0" locked="0" layoutInCell="1" allowOverlap="1">
                  <wp:simplePos x="0" y="0"/>
                  <wp:positionH relativeFrom="column">
                    <wp:posOffset>512445</wp:posOffset>
                  </wp:positionH>
                  <wp:positionV relativeFrom="paragraph">
                    <wp:posOffset>76200</wp:posOffset>
                  </wp:positionV>
                  <wp:extent cx="905510" cy="918210"/>
                  <wp:effectExtent l="19050" t="0" r="889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905510" cy="918210"/>
                          </a:xfrm>
                          <a:prstGeom prst="rect">
                            <a:avLst/>
                          </a:prstGeom>
                          <a:solidFill>
                            <a:srgbClr val="FFFFFF"/>
                          </a:solidFill>
                          <a:ln w="9525">
                            <a:noFill/>
                            <a:miter lim="800000"/>
                            <a:headEnd/>
                            <a:tailEnd/>
                          </a:ln>
                        </pic:spPr>
                      </pic:pic>
                    </a:graphicData>
                  </a:graphic>
                </wp:anchor>
              </w:drawing>
            </w:r>
          </w:p>
        </w:tc>
        <w:tc>
          <w:tcPr>
            <w:tcW w:w="3118" w:type="dxa"/>
            <w:tcBorders>
              <w:top w:val="single" w:sz="1" w:space="0" w:color="000000"/>
              <w:left w:val="single" w:sz="1" w:space="0" w:color="000000"/>
              <w:bottom w:val="single" w:sz="1" w:space="0" w:color="000000"/>
            </w:tcBorders>
          </w:tcPr>
          <w:p w:rsidR="000B53B7" w:rsidRDefault="000B53B7" w:rsidP="002A1F4D">
            <w:pPr>
              <w:pStyle w:val="Contenutotabella"/>
              <w:jc w:val="center"/>
            </w:pPr>
            <w:r>
              <w:rPr>
                <w:noProof/>
                <w:lang w:eastAsia="it-IT"/>
              </w:rPr>
              <w:drawing>
                <wp:inline distT="0" distB="0" distL="0" distR="0">
                  <wp:extent cx="819150" cy="11715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blip>
                          <a:srcRect/>
                          <a:stretch>
                            <a:fillRect/>
                          </a:stretch>
                        </pic:blipFill>
                        <pic:spPr bwMode="auto">
                          <a:xfrm>
                            <a:off x="0" y="0"/>
                            <a:ext cx="819150" cy="1171575"/>
                          </a:xfrm>
                          <a:prstGeom prst="rect">
                            <a:avLst/>
                          </a:prstGeom>
                          <a:solidFill>
                            <a:srgbClr val="FFFFFF"/>
                          </a:solidFill>
                          <a:ln w="9525">
                            <a:noFill/>
                            <a:miter lim="800000"/>
                            <a:headEnd/>
                            <a:tailEnd/>
                          </a:ln>
                        </pic:spPr>
                      </pic:pic>
                    </a:graphicData>
                  </a:graphic>
                </wp:inline>
              </w:drawing>
            </w:r>
          </w:p>
        </w:tc>
        <w:tc>
          <w:tcPr>
            <w:tcW w:w="4253" w:type="dxa"/>
            <w:tcBorders>
              <w:top w:val="single" w:sz="1" w:space="0" w:color="000000"/>
              <w:left w:val="single" w:sz="1" w:space="0" w:color="000000"/>
              <w:bottom w:val="single" w:sz="1" w:space="0" w:color="000000"/>
              <w:right w:val="single" w:sz="1" w:space="0" w:color="000000"/>
            </w:tcBorders>
          </w:tcPr>
          <w:p w:rsidR="000B53B7" w:rsidRDefault="00770187" w:rsidP="002A1F4D">
            <w:pPr>
              <w:pStyle w:val="Contenutotabella"/>
            </w:pPr>
            <w:r>
              <w:rPr>
                <w:noProof/>
                <w:lang w:eastAsia="it-IT"/>
              </w:rPr>
              <w:drawing>
                <wp:inline distT="0" distB="0" distL="0" distR="0" wp14:anchorId="7660A037">
                  <wp:extent cx="2628900" cy="78676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786765"/>
                          </a:xfrm>
                          <a:prstGeom prst="rect">
                            <a:avLst/>
                          </a:prstGeom>
                          <a:noFill/>
                        </pic:spPr>
                      </pic:pic>
                    </a:graphicData>
                  </a:graphic>
                </wp:inline>
              </w:drawing>
            </w:r>
          </w:p>
        </w:tc>
      </w:tr>
      <w:tr w:rsidR="000B53B7" w:rsidTr="00770187">
        <w:trPr>
          <w:trHeight w:val="2010"/>
        </w:trPr>
        <w:tc>
          <w:tcPr>
            <w:tcW w:w="3120" w:type="dxa"/>
            <w:tcBorders>
              <w:left w:val="single" w:sz="1" w:space="0" w:color="000000"/>
              <w:bottom w:val="single" w:sz="1" w:space="0" w:color="000000"/>
            </w:tcBorders>
          </w:tcPr>
          <w:p w:rsidR="000B53B7" w:rsidRPr="009B213B" w:rsidRDefault="000B53B7" w:rsidP="009B213B">
            <w:pPr>
              <w:pStyle w:val="Corpotesto"/>
              <w:spacing w:line="240" w:lineRule="auto"/>
              <w:jc w:val="center"/>
              <w:rPr>
                <w:b/>
                <w:color w:val="000000"/>
                <w:sz w:val="18"/>
                <w:szCs w:val="18"/>
              </w:rPr>
            </w:pPr>
            <w:r w:rsidRPr="009B213B">
              <w:rPr>
                <w:b/>
                <w:color w:val="000000"/>
                <w:sz w:val="18"/>
                <w:szCs w:val="18"/>
              </w:rPr>
              <w:t xml:space="preserve">ASSOCIAZIONE </w:t>
            </w:r>
          </w:p>
          <w:p w:rsidR="000B53B7" w:rsidRPr="009B213B" w:rsidRDefault="000B53B7" w:rsidP="009B213B">
            <w:pPr>
              <w:pStyle w:val="Corpotesto"/>
              <w:spacing w:line="240" w:lineRule="auto"/>
              <w:jc w:val="center"/>
              <w:rPr>
                <w:b/>
                <w:color w:val="000000"/>
                <w:sz w:val="18"/>
                <w:szCs w:val="18"/>
              </w:rPr>
            </w:pPr>
            <w:r w:rsidRPr="009B213B">
              <w:rPr>
                <w:b/>
                <w:color w:val="000000"/>
                <w:sz w:val="18"/>
                <w:szCs w:val="18"/>
              </w:rPr>
              <w:t>BORGHI AUTENTICI D'ITALIA</w:t>
            </w:r>
          </w:p>
          <w:p w:rsidR="000B53B7" w:rsidRPr="009B213B" w:rsidRDefault="000B53B7" w:rsidP="009B213B">
            <w:pPr>
              <w:pStyle w:val="Corpotesto"/>
              <w:spacing w:line="240" w:lineRule="auto"/>
              <w:jc w:val="center"/>
              <w:rPr>
                <w:sz w:val="14"/>
                <w:szCs w:val="14"/>
              </w:rPr>
            </w:pPr>
            <w:r w:rsidRPr="009B213B">
              <w:rPr>
                <w:sz w:val="14"/>
                <w:szCs w:val="14"/>
              </w:rPr>
              <w:t>Viale Matteotti n.49 - 43039 Salsomaggiore Terme (PR)Tel. 0524 587185 Fax 0524 580034</w:t>
            </w:r>
          </w:p>
          <w:p w:rsidR="000B53B7" w:rsidRDefault="000B53B7" w:rsidP="009B213B">
            <w:pPr>
              <w:pStyle w:val="Corpotesto"/>
              <w:spacing w:line="240" w:lineRule="auto"/>
              <w:jc w:val="center"/>
              <w:rPr>
                <w:color w:val="000000"/>
                <w:sz w:val="18"/>
                <w:szCs w:val="18"/>
              </w:rPr>
            </w:pPr>
            <w:r w:rsidRPr="009B213B">
              <w:rPr>
                <w:sz w:val="14"/>
                <w:szCs w:val="14"/>
              </w:rPr>
              <w:t xml:space="preserve">C.F. 95108270653 E-mail: </w:t>
            </w:r>
            <w:hyperlink r:id="rId10" w:history="1">
              <w:r w:rsidRPr="009B213B">
                <w:rPr>
                  <w:rStyle w:val="Collegamentoipertestuale"/>
                  <w:sz w:val="14"/>
                  <w:szCs w:val="14"/>
                </w:rPr>
                <w:t>associazione@borghiautenticiditalia.it</w:t>
              </w:r>
            </w:hyperlink>
            <w:r w:rsidRPr="009B213B">
              <w:rPr>
                <w:color w:val="000000"/>
                <w:sz w:val="14"/>
                <w:szCs w:val="14"/>
              </w:rPr>
              <w:t xml:space="preserve">  - </w:t>
            </w:r>
            <w:hyperlink r:id="rId11" w:history="1">
              <w:r w:rsidRPr="009B213B">
                <w:rPr>
                  <w:rStyle w:val="Collegamentoipertestuale"/>
                  <w:sz w:val="14"/>
                  <w:szCs w:val="14"/>
                </w:rPr>
                <w:t>www.borghiautenticiditalia.it/bai</w:t>
              </w:r>
            </w:hyperlink>
            <w:r w:rsidRPr="009B213B">
              <w:rPr>
                <w:color w:val="000000"/>
                <w:sz w:val="14"/>
                <w:szCs w:val="14"/>
              </w:rPr>
              <w:t xml:space="preserve">  </w:t>
            </w:r>
          </w:p>
        </w:tc>
        <w:tc>
          <w:tcPr>
            <w:tcW w:w="3118" w:type="dxa"/>
            <w:tcBorders>
              <w:left w:val="single" w:sz="1" w:space="0" w:color="000000"/>
              <w:bottom w:val="single" w:sz="1" w:space="0" w:color="000000"/>
            </w:tcBorders>
          </w:tcPr>
          <w:p w:rsidR="000B53B7" w:rsidRPr="009B213B" w:rsidRDefault="000B53B7" w:rsidP="009B213B">
            <w:pPr>
              <w:pStyle w:val="Corpotesto"/>
              <w:spacing w:line="240" w:lineRule="auto"/>
              <w:jc w:val="center"/>
              <w:rPr>
                <w:b/>
                <w:color w:val="000000"/>
                <w:sz w:val="18"/>
                <w:szCs w:val="18"/>
              </w:rPr>
            </w:pPr>
            <w:r w:rsidRPr="009B213B">
              <w:rPr>
                <w:b/>
                <w:color w:val="000000"/>
                <w:sz w:val="18"/>
                <w:szCs w:val="18"/>
              </w:rPr>
              <w:t>COMUNE DI MODOLO</w:t>
            </w:r>
          </w:p>
          <w:p w:rsidR="000B53B7" w:rsidRPr="009B213B" w:rsidRDefault="000B53B7" w:rsidP="009B213B">
            <w:pPr>
              <w:pStyle w:val="Corpotesto"/>
              <w:spacing w:line="240" w:lineRule="auto"/>
              <w:jc w:val="center"/>
              <w:rPr>
                <w:b/>
                <w:color w:val="000000"/>
                <w:sz w:val="18"/>
                <w:szCs w:val="18"/>
              </w:rPr>
            </w:pPr>
            <w:r w:rsidRPr="009B213B">
              <w:rPr>
                <w:b/>
                <w:color w:val="000000"/>
                <w:sz w:val="18"/>
                <w:szCs w:val="18"/>
              </w:rPr>
              <w:t>PROVINCIA DI ORISTANO</w:t>
            </w:r>
          </w:p>
          <w:p w:rsidR="000B53B7" w:rsidRPr="000B53B7" w:rsidRDefault="007F41F3" w:rsidP="009B213B">
            <w:pPr>
              <w:pStyle w:val="Corpotesto"/>
              <w:spacing w:line="240" w:lineRule="auto"/>
              <w:jc w:val="center"/>
              <w:rPr>
                <w:sz w:val="14"/>
                <w:szCs w:val="14"/>
              </w:rPr>
            </w:pPr>
            <w:r>
              <w:rPr>
                <w:sz w:val="14"/>
                <w:szCs w:val="14"/>
              </w:rPr>
              <w:t>Via Roma n. 76, 090</w:t>
            </w:r>
            <w:r w:rsidR="000B53B7" w:rsidRPr="000B53B7">
              <w:rPr>
                <w:sz w:val="14"/>
                <w:szCs w:val="14"/>
              </w:rPr>
              <w:t>9</w:t>
            </w:r>
            <w:r>
              <w:rPr>
                <w:sz w:val="14"/>
                <w:szCs w:val="14"/>
              </w:rPr>
              <w:t>0</w:t>
            </w:r>
            <w:r w:rsidR="000B53B7" w:rsidRPr="000B53B7">
              <w:rPr>
                <w:sz w:val="14"/>
                <w:szCs w:val="14"/>
              </w:rPr>
              <w:t xml:space="preserve"> – Modolo (OR) </w:t>
            </w:r>
          </w:p>
          <w:p w:rsidR="000B53B7" w:rsidRPr="000B53B7" w:rsidRDefault="000B53B7" w:rsidP="009B213B">
            <w:pPr>
              <w:pStyle w:val="Corpotesto"/>
              <w:spacing w:line="240" w:lineRule="auto"/>
              <w:jc w:val="center"/>
              <w:rPr>
                <w:sz w:val="14"/>
                <w:szCs w:val="14"/>
              </w:rPr>
            </w:pPr>
            <w:r w:rsidRPr="000B53B7">
              <w:rPr>
                <w:sz w:val="14"/>
                <w:szCs w:val="14"/>
              </w:rPr>
              <w:t>F. e P. I. 00161500913</w:t>
            </w:r>
          </w:p>
          <w:p w:rsidR="000B53B7" w:rsidRPr="000B53B7" w:rsidRDefault="000B53B7" w:rsidP="009B213B">
            <w:pPr>
              <w:pStyle w:val="Corpotesto"/>
              <w:spacing w:line="240" w:lineRule="auto"/>
              <w:jc w:val="center"/>
              <w:rPr>
                <w:sz w:val="14"/>
                <w:szCs w:val="14"/>
              </w:rPr>
            </w:pPr>
            <w:r w:rsidRPr="000B53B7">
              <w:rPr>
                <w:sz w:val="14"/>
                <w:szCs w:val="14"/>
              </w:rPr>
              <w:t>Tel. 0785/35666 – Fax. 0785/35378</w:t>
            </w:r>
          </w:p>
          <w:p w:rsidR="00CE5AE2" w:rsidRPr="00CE5AE2" w:rsidRDefault="00CE5AE2" w:rsidP="00CE5AE2">
            <w:pPr>
              <w:spacing w:after="120" w:line="240" w:lineRule="auto"/>
              <w:jc w:val="center"/>
              <w:rPr>
                <w:rFonts w:ascii="Times New Roman" w:eastAsia="Times New Roman" w:hAnsi="Times New Roman" w:cs="Times New Roman"/>
                <w:sz w:val="24"/>
                <w:szCs w:val="24"/>
                <w:lang w:eastAsia="it-IT"/>
              </w:rPr>
            </w:pPr>
            <w:r w:rsidRPr="00CE5AE2">
              <w:rPr>
                <w:rFonts w:ascii="Times New Roman" w:eastAsia="Times New Roman" w:hAnsi="Times New Roman" w:cs="Times New Roman"/>
                <w:color w:val="000000"/>
                <w:sz w:val="14"/>
                <w:szCs w:val="14"/>
                <w:lang w:eastAsia="it-IT"/>
              </w:rPr>
              <w:t>www.comunedimodolo.gov.it</w:t>
            </w:r>
          </w:p>
          <w:p w:rsidR="000B53B7" w:rsidRPr="00CE5AE2" w:rsidRDefault="00CE5AE2" w:rsidP="00CE5AE2">
            <w:pPr>
              <w:spacing w:after="120" w:line="240" w:lineRule="auto"/>
              <w:jc w:val="center"/>
              <w:rPr>
                <w:rFonts w:ascii="Times New Roman" w:eastAsia="Times New Roman" w:hAnsi="Times New Roman" w:cs="Times New Roman"/>
                <w:sz w:val="24"/>
                <w:szCs w:val="24"/>
                <w:lang w:eastAsia="it-IT"/>
              </w:rPr>
            </w:pPr>
            <w:r w:rsidRPr="00CE5AE2">
              <w:rPr>
                <w:rFonts w:ascii="Times New Roman" w:eastAsia="Times New Roman" w:hAnsi="Times New Roman" w:cs="Times New Roman"/>
                <w:color w:val="000000"/>
                <w:sz w:val="14"/>
                <w:szCs w:val="14"/>
                <w:lang w:eastAsia="it-IT"/>
              </w:rPr>
              <w:t>info@pec.comune.modolo.nu.it</w:t>
            </w:r>
          </w:p>
        </w:tc>
        <w:tc>
          <w:tcPr>
            <w:tcW w:w="4253" w:type="dxa"/>
            <w:tcBorders>
              <w:left w:val="single" w:sz="1" w:space="0" w:color="000000"/>
              <w:bottom w:val="single" w:sz="1" w:space="0" w:color="000000"/>
              <w:right w:val="single" w:sz="1" w:space="0" w:color="000000"/>
            </w:tcBorders>
          </w:tcPr>
          <w:p w:rsidR="000B53B7" w:rsidRPr="009B213B" w:rsidRDefault="000B53B7" w:rsidP="009B213B">
            <w:pPr>
              <w:pStyle w:val="Corpotesto"/>
              <w:spacing w:line="240" w:lineRule="auto"/>
              <w:jc w:val="center"/>
              <w:rPr>
                <w:b/>
                <w:color w:val="000000"/>
                <w:sz w:val="18"/>
                <w:szCs w:val="18"/>
              </w:rPr>
            </w:pPr>
            <w:r w:rsidRPr="009B213B">
              <w:rPr>
                <w:b/>
                <w:color w:val="000000"/>
                <w:sz w:val="18"/>
                <w:szCs w:val="18"/>
              </w:rPr>
              <w:t>UNIONE DI COMUNI</w:t>
            </w:r>
          </w:p>
          <w:p w:rsidR="000B53B7" w:rsidRPr="009B213B" w:rsidRDefault="000B53B7" w:rsidP="009B213B">
            <w:pPr>
              <w:pStyle w:val="Corpotesto"/>
              <w:spacing w:line="240" w:lineRule="auto"/>
              <w:jc w:val="center"/>
              <w:rPr>
                <w:b/>
                <w:color w:val="000000"/>
                <w:sz w:val="18"/>
                <w:szCs w:val="18"/>
              </w:rPr>
            </w:pPr>
            <w:r w:rsidRPr="009B213B">
              <w:rPr>
                <w:b/>
                <w:color w:val="000000"/>
                <w:sz w:val="18"/>
                <w:szCs w:val="18"/>
              </w:rPr>
              <w:t xml:space="preserve">DELLA PLANARGIA </w:t>
            </w:r>
          </w:p>
          <w:p w:rsidR="000B53B7" w:rsidRPr="009B213B" w:rsidRDefault="000B53B7" w:rsidP="009B213B">
            <w:pPr>
              <w:pStyle w:val="Corpotesto"/>
              <w:spacing w:line="240" w:lineRule="auto"/>
              <w:jc w:val="center"/>
              <w:rPr>
                <w:sz w:val="14"/>
                <w:szCs w:val="14"/>
              </w:rPr>
            </w:pPr>
            <w:r w:rsidRPr="009B213B">
              <w:rPr>
                <w:sz w:val="14"/>
                <w:szCs w:val="14"/>
              </w:rPr>
              <w:t xml:space="preserve">Via </w:t>
            </w:r>
            <w:proofErr w:type="spellStart"/>
            <w:r w:rsidRPr="009B213B">
              <w:rPr>
                <w:sz w:val="14"/>
                <w:szCs w:val="14"/>
              </w:rPr>
              <w:t>Azuni</w:t>
            </w:r>
            <w:proofErr w:type="spellEnd"/>
            <w:r w:rsidRPr="009B213B">
              <w:rPr>
                <w:sz w:val="14"/>
                <w:szCs w:val="14"/>
              </w:rPr>
              <w:t xml:space="preserve"> angolo Via </w:t>
            </w:r>
            <w:proofErr w:type="spellStart"/>
            <w:r w:rsidR="00770187">
              <w:rPr>
                <w:sz w:val="14"/>
                <w:szCs w:val="14"/>
              </w:rPr>
              <w:t>Azuni</w:t>
            </w:r>
            <w:proofErr w:type="spellEnd"/>
            <w:r w:rsidR="00770187">
              <w:rPr>
                <w:sz w:val="14"/>
                <w:szCs w:val="14"/>
              </w:rPr>
              <w:t xml:space="preserve"> n. 9 </w:t>
            </w:r>
            <w:r w:rsidRPr="009B213B">
              <w:rPr>
                <w:sz w:val="14"/>
                <w:szCs w:val="14"/>
              </w:rPr>
              <w:t>– 08013 Bosa (OR)</w:t>
            </w:r>
          </w:p>
          <w:p w:rsidR="000B53B7" w:rsidRPr="009B213B" w:rsidRDefault="000B53B7" w:rsidP="009B213B">
            <w:pPr>
              <w:pStyle w:val="Corpotesto"/>
              <w:spacing w:line="240" w:lineRule="auto"/>
              <w:jc w:val="center"/>
              <w:rPr>
                <w:sz w:val="14"/>
                <w:szCs w:val="14"/>
              </w:rPr>
            </w:pPr>
            <w:r w:rsidRPr="009B213B">
              <w:rPr>
                <w:sz w:val="14"/>
                <w:szCs w:val="14"/>
              </w:rPr>
              <w:t>C.F. e P.I.: 01295640914</w:t>
            </w:r>
          </w:p>
          <w:p w:rsidR="000B53B7" w:rsidRPr="009B213B" w:rsidRDefault="000B53B7" w:rsidP="009B213B">
            <w:pPr>
              <w:pStyle w:val="Corpotesto"/>
              <w:spacing w:line="240" w:lineRule="auto"/>
              <w:jc w:val="center"/>
              <w:rPr>
                <w:sz w:val="14"/>
                <w:szCs w:val="14"/>
              </w:rPr>
            </w:pPr>
            <w:r w:rsidRPr="009B213B">
              <w:rPr>
                <w:sz w:val="14"/>
                <w:szCs w:val="14"/>
              </w:rPr>
              <w:t>Tel. 0785/825110 – Fax 0785/373329</w:t>
            </w:r>
          </w:p>
          <w:p w:rsidR="000B53B7" w:rsidRDefault="000B53B7" w:rsidP="009B213B">
            <w:pPr>
              <w:pStyle w:val="Corpotesto"/>
              <w:spacing w:line="240" w:lineRule="auto"/>
              <w:jc w:val="center"/>
              <w:rPr>
                <w:sz w:val="14"/>
                <w:szCs w:val="14"/>
              </w:rPr>
            </w:pPr>
            <w:r w:rsidRPr="009B213B">
              <w:rPr>
                <w:sz w:val="14"/>
                <w:szCs w:val="14"/>
              </w:rPr>
              <w:t>www.unioneplamo.it</w:t>
            </w:r>
          </w:p>
        </w:tc>
      </w:tr>
    </w:tbl>
    <w:p w:rsidR="0067059F" w:rsidRDefault="00C97596" w:rsidP="00CC5429">
      <w:pPr>
        <w:rPr>
          <w:rFonts w:ascii="Times New Roman" w:hAnsi="Times New Roman" w:cs="Times New Roman"/>
          <w:sz w:val="24"/>
          <w:szCs w:val="24"/>
        </w:rPr>
      </w:pPr>
      <w:r>
        <w:rPr>
          <w:rFonts w:ascii="Times New Roman" w:hAnsi="Times New Roman" w:cs="Times New Roman"/>
          <w:sz w:val="24"/>
          <w:szCs w:val="24"/>
        </w:rPr>
        <w:t>Modolo, 16/11/2021</w:t>
      </w:r>
    </w:p>
    <w:p w:rsidR="00C97596" w:rsidRDefault="00C97596" w:rsidP="00C97596">
      <w:pPr>
        <w:jc w:val="both"/>
        <w:rPr>
          <w:rFonts w:ascii="Times New Roman" w:hAnsi="Times New Roman" w:cs="Times New Roman"/>
          <w:sz w:val="24"/>
          <w:szCs w:val="24"/>
        </w:rPr>
      </w:pPr>
      <w:r w:rsidRPr="00C97596">
        <w:rPr>
          <w:rFonts w:ascii="Times New Roman" w:hAnsi="Times New Roman" w:cs="Times New Roman"/>
          <w:sz w:val="24"/>
          <w:szCs w:val="24"/>
        </w:rPr>
        <w:t>BANDO DI CONCORSO, PER TITOLI, PER L'ASSEGNAZIONE DI N. DUE AUTORIZZAZIONI PER L'ESERCIZIO DEL SERVIZIO DI NOLEGGIO CON CONDUCENTE, DA SVOLGERE CON AUTOVETTURE FINO A 9 (NOVE) POSTI A SEDERE, COMPRESO IL CONDUCENTE.</w:t>
      </w:r>
    </w:p>
    <w:p w:rsidR="00C97596" w:rsidRPr="00C97596" w:rsidRDefault="00C97596" w:rsidP="00C97596">
      <w:pPr>
        <w:jc w:val="center"/>
        <w:rPr>
          <w:rFonts w:ascii="Times New Roman" w:hAnsi="Times New Roman" w:cs="Times New Roman"/>
          <w:b/>
          <w:sz w:val="24"/>
          <w:szCs w:val="24"/>
        </w:rPr>
      </w:pPr>
      <w:r w:rsidRPr="00C97596">
        <w:rPr>
          <w:rFonts w:ascii="Times New Roman" w:hAnsi="Times New Roman" w:cs="Times New Roman"/>
          <w:b/>
          <w:sz w:val="24"/>
          <w:szCs w:val="24"/>
        </w:rPr>
        <w:t>Verbale n. 1</w:t>
      </w:r>
    </w:p>
    <w:p w:rsidR="00C97596" w:rsidRDefault="00C97596" w:rsidP="00C97596">
      <w:pPr>
        <w:jc w:val="center"/>
        <w:rPr>
          <w:rFonts w:ascii="Times New Roman" w:hAnsi="Times New Roman" w:cs="Times New Roman"/>
          <w:b/>
          <w:sz w:val="24"/>
          <w:szCs w:val="24"/>
        </w:rPr>
      </w:pPr>
      <w:r w:rsidRPr="00C97596">
        <w:rPr>
          <w:rFonts w:ascii="Times New Roman" w:hAnsi="Times New Roman" w:cs="Times New Roman"/>
          <w:b/>
          <w:sz w:val="24"/>
          <w:szCs w:val="24"/>
        </w:rPr>
        <w:t>Approvazione graduatoria provvisoria</w:t>
      </w:r>
    </w:p>
    <w:p w:rsidR="00C97596" w:rsidRDefault="00C97596" w:rsidP="00C97596">
      <w:pPr>
        <w:jc w:val="both"/>
        <w:rPr>
          <w:rFonts w:ascii="Times New Roman" w:hAnsi="Times New Roman" w:cs="Times New Roman"/>
          <w:sz w:val="24"/>
          <w:szCs w:val="24"/>
        </w:rPr>
      </w:pPr>
      <w:r>
        <w:rPr>
          <w:rFonts w:ascii="Times New Roman" w:hAnsi="Times New Roman" w:cs="Times New Roman"/>
          <w:sz w:val="24"/>
          <w:szCs w:val="24"/>
        </w:rPr>
        <w:t xml:space="preserve">Premesso che con </w:t>
      </w:r>
      <w:r w:rsidRPr="00C97596">
        <w:rPr>
          <w:rFonts w:ascii="Times New Roman" w:hAnsi="Times New Roman" w:cs="Times New Roman"/>
          <w:sz w:val="24"/>
          <w:szCs w:val="24"/>
        </w:rPr>
        <w:t xml:space="preserve">Determinazione </w:t>
      </w:r>
      <w:r>
        <w:rPr>
          <w:rFonts w:ascii="Times New Roman" w:hAnsi="Times New Roman" w:cs="Times New Roman"/>
          <w:sz w:val="24"/>
          <w:szCs w:val="24"/>
        </w:rPr>
        <w:t xml:space="preserve">del responsabile dell’Ufficio Tecnico </w:t>
      </w:r>
      <w:r w:rsidRPr="00C97596">
        <w:rPr>
          <w:rFonts w:ascii="Times New Roman" w:hAnsi="Times New Roman" w:cs="Times New Roman"/>
          <w:sz w:val="24"/>
          <w:szCs w:val="24"/>
        </w:rPr>
        <w:t>n. 442 del 12/10/2021 si è provveduto all’indizione del bando di concorso, per titoli, per l'assegnazione di n. 2 (due) autorizzazioni per l'esercizio del servizio di noleggio con conducente da svolgere con autovetture fino a nove (9) posti a sedere, compreso il conducente;</w:t>
      </w:r>
    </w:p>
    <w:p w:rsidR="00C97596" w:rsidRDefault="00C97596" w:rsidP="00C97596">
      <w:pPr>
        <w:jc w:val="both"/>
        <w:rPr>
          <w:rFonts w:ascii="Times New Roman" w:hAnsi="Times New Roman" w:cs="Times New Roman"/>
          <w:bCs/>
          <w:sz w:val="24"/>
          <w:szCs w:val="24"/>
        </w:rPr>
      </w:pPr>
      <w:r>
        <w:rPr>
          <w:rFonts w:ascii="Times New Roman" w:hAnsi="Times New Roman" w:cs="Times New Roman"/>
          <w:sz w:val="24"/>
          <w:szCs w:val="24"/>
        </w:rPr>
        <w:t>Tenuto conto che</w:t>
      </w:r>
      <w:r w:rsidRPr="00C97596">
        <w:rPr>
          <w:rFonts w:ascii="Times New Roman" w:hAnsi="Times New Roman" w:cs="Times New Roman"/>
          <w:bCs/>
          <w:sz w:val="24"/>
          <w:szCs w:val="24"/>
        </w:rPr>
        <w:t xml:space="preserve"> il termine per la presentazione delle domande per l’assegnazione delle n. 2 licenze in argomento è scaduto alle ore 12.00 del giorno 12/11/2021 e che entro tale data risultano pervenute al proto</w:t>
      </w:r>
      <w:r>
        <w:rPr>
          <w:rFonts w:ascii="Times New Roman" w:hAnsi="Times New Roman" w:cs="Times New Roman"/>
          <w:bCs/>
          <w:sz w:val="24"/>
          <w:szCs w:val="24"/>
        </w:rPr>
        <w:t xml:space="preserve">collo generale n. </w:t>
      </w:r>
      <w:r w:rsidRPr="00C97596">
        <w:rPr>
          <w:rFonts w:ascii="Times New Roman" w:hAnsi="Times New Roman" w:cs="Times New Roman"/>
          <w:bCs/>
          <w:sz w:val="24"/>
          <w:szCs w:val="24"/>
        </w:rPr>
        <w:t xml:space="preserve">2 domande di partecipazione </w:t>
      </w:r>
      <w:r>
        <w:rPr>
          <w:rFonts w:ascii="Times New Roman" w:hAnsi="Times New Roman" w:cs="Times New Roman"/>
          <w:bCs/>
          <w:sz w:val="24"/>
          <w:szCs w:val="24"/>
        </w:rPr>
        <w:t>di che trattasi;</w:t>
      </w:r>
    </w:p>
    <w:p w:rsidR="00C97596" w:rsidRDefault="00C97596" w:rsidP="00C97596">
      <w:pPr>
        <w:jc w:val="both"/>
        <w:rPr>
          <w:rFonts w:ascii="Times New Roman" w:hAnsi="Times New Roman" w:cs="Times New Roman"/>
          <w:bCs/>
          <w:sz w:val="24"/>
          <w:szCs w:val="24"/>
        </w:rPr>
      </w:pPr>
      <w:r>
        <w:rPr>
          <w:rFonts w:ascii="Times New Roman" w:hAnsi="Times New Roman" w:cs="Times New Roman"/>
          <w:bCs/>
          <w:sz w:val="24"/>
          <w:szCs w:val="24"/>
        </w:rPr>
        <w:t xml:space="preserve">Considerato che ai fini dell’ammissione al concorso per l’assegnazione  delle n. 2 licenze </w:t>
      </w:r>
      <w:r w:rsidR="003B49E6">
        <w:rPr>
          <w:rFonts w:ascii="Times New Roman" w:hAnsi="Times New Roman" w:cs="Times New Roman"/>
          <w:bCs/>
          <w:sz w:val="24"/>
          <w:szCs w:val="24"/>
        </w:rPr>
        <w:t>sono richiesti i seguenti requisiti:</w:t>
      </w:r>
    </w:p>
    <w:p w:rsidR="003B49E6" w:rsidRPr="003B49E6" w:rsidRDefault="003B49E6" w:rsidP="003B49E6">
      <w:pPr>
        <w:pStyle w:val="Paragrafoelenco"/>
        <w:numPr>
          <w:ilvl w:val="0"/>
          <w:numId w:val="10"/>
        </w:numPr>
        <w:tabs>
          <w:tab w:val="left" w:pos="709"/>
        </w:tabs>
        <w:ind w:left="284" w:hanging="284"/>
        <w:jc w:val="both"/>
        <w:rPr>
          <w:rFonts w:ascii="Times New Roman" w:hAnsi="Times New Roman" w:cs="Times New Roman"/>
          <w:sz w:val="20"/>
          <w:szCs w:val="20"/>
        </w:rPr>
      </w:pPr>
      <w:r w:rsidRPr="003B49E6">
        <w:rPr>
          <w:rFonts w:ascii="Times New Roman" w:hAnsi="Times New Roman" w:cs="Times New Roman"/>
          <w:sz w:val="20"/>
          <w:szCs w:val="20"/>
        </w:rPr>
        <w:t>essere cittadino italiano ovvero di un altro Stato dell’Unione Europea ovvero di altro Stato che riconosca ai cittadini italiani il diritto di prestare attività per servizi analoghi;</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b) possedere la patente di guida appropriata e le certificazioni di abilitazione professionale previste dalla vigente normativa ed in particolare dal Codice della Strada;</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c) essere iscritto nel ruolo dei conducenti di cui all’art. 6 della Legge 15/01/1992 n. 21 ovvero in un qualsiasi analogo elenco di uno Stato della Comunità Europea o di altro Stato che riconosca ai cittadini italiani il diritto di prestare attività per servizi analoghi;</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d) avere la disponibilità di una sede e una rimessa, in base ad un valido titolo giuridico, con adeguata destinazione urbanistica e in regola con quanto previsto dalla normativa vigente in materia di prevenzione incendi e sicurezza sul lavoro, nel territorio Regionale;</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lastRenderedPageBreak/>
        <w:t>e) essere proprietario o comunque avere la piena disponibilità in forza di un contratto (anche in leasing) del veicolo per l’esercizio del servizio. Tale veicolo può essere appositamente attrezzato per il trasporto dei soggetti portatori di handicap;</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f) non essere titolare di licenza per il servizio di taxi;</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g) non avere trasferito precedente licenza o autorizzazione nei 5 (cinque) anni precedenti;</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h) non svolgere altre attività lavorative in modo prevalente rispetto all'attività autorizzata o comunque in modo tale da compromettere la regolarità e la sicurezza dell'attività medesima. Ai sensi dell'art.7 della L. 21/92, in caso di svolgimento del servizio da parte di imprenditore privato, l'attività di N.C.C. dovrà essere svolta in maniera esclusiva.</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i) non aver riportato una o più condanne irrevocabili a pena detentiva in misura superiore, complessivamente, ai due anni per delitti non colposi e non essere stato sottoposto a misure di prevenzione e restrizione della libertà personale da parte dell’autorità giudiziaria;</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l) non aver riportato condanne definitive per reati contro il patrimonio e l’ordine pubblico, salvo che sia intervenuta sentenza di riabilitazione;</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m) non essere incorso in provvedimenti adottati ai sensi delle seguenti leggi:</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 xml:space="preserve">- D. </w:t>
      </w:r>
      <w:proofErr w:type="spellStart"/>
      <w:r w:rsidRPr="003B49E6">
        <w:rPr>
          <w:rFonts w:ascii="Times New Roman" w:hAnsi="Times New Roman" w:cs="Times New Roman"/>
          <w:sz w:val="20"/>
          <w:szCs w:val="20"/>
        </w:rPr>
        <w:t>lgs</w:t>
      </w:r>
      <w:proofErr w:type="spellEnd"/>
      <w:r w:rsidRPr="003B49E6">
        <w:rPr>
          <w:rFonts w:ascii="Times New Roman" w:hAnsi="Times New Roman" w:cs="Times New Roman"/>
          <w:sz w:val="20"/>
          <w:szCs w:val="20"/>
        </w:rPr>
        <w:t>. n. 159/2011 (misure di prevenzione e antimafia)</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 Legge n. 646 del 13/09/82 (misure di prevenzione a carattere patrimoniale)</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 Legge n. 726 del 12/10/82 e successive modifiche (misure urgenti contro la delinquenza mafiosa);</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n) non essere stato assoggettato e non avere in corso procedure fallimentari ovvero, in caso positivo, aver conseguito la riabilitazione a norma di legge;</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o) non essere incorso, nel quinquennio precedente la domanda, nella decadenza o nel provvedimento di revoca dell’autorizzazione al servizio di noleggio con conducente, anche da parte di altri Comuni.</w:t>
      </w:r>
    </w:p>
    <w:p w:rsidR="003B49E6" w:rsidRPr="003B49E6" w:rsidRDefault="003B49E6" w:rsidP="003B49E6">
      <w:pPr>
        <w:jc w:val="both"/>
        <w:rPr>
          <w:rFonts w:ascii="Times New Roman" w:hAnsi="Times New Roman" w:cs="Times New Roman"/>
          <w:sz w:val="20"/>
          <w:szCs w:val="20"/>
        </w:rPr>
      </w:pPr>
      <w:r w:rsidRPr="003B49E6">
        <w:rPr>
          <w:rFonts w:ascii="Times New Roman" w:hAnsi="Times New Roman" w:cs="Times New Roman"/>
          <w:sz w:val="20"/>
          <w:szCs w:val="20"/>
        </w:rPr>
        <w:t>p) non essere incorso in provvedimenti di sospensione della patente di guida;</w:t>
      </w:r>
    </w:p>
    <w:p w:rsidR="003B49E6" w:rsidRDefault="003B49E6" w:rsidP="00C97596">
      <w:pPr>
        <w:jc w:val="both"/>
        <w:rPr>
          <w:rFonts w:ascii="Times New Roman" w:hAnsi="Times New Roman" w:cs="Times New Roman"/>
          <w:sz w:val="24"/>
          <w:szCs w:val="24"/>
        </w:rPr>
      </w:pPr>
      <w:r>
        <w:rPr>
          <w:rFonts w:ascii="Times New Roman" w:hAnsi="Times New Roman" w:cs="Times New Roman"/>
          <w:sz w:val="24"/>
          <w:szCs w:val="24"/>
        </w:rPr>
        <w:t>Considerato altresì che i titoli valutabili ai fini della graduatoria sono i seguenti:</w:t>
      </w:r>
    </w:p>
    <w:p w:rsidR="003B49E6" w:rsidRPr="0065375F" w:rsidRDefault="003B49E6" w:rsidP="003B49E6">
      <w:pPr>
        <w:pStyle w:val="Paragrafoelenco"/>
        <w:numPr>
          <w:ilvl w:val="0"/>
          <w:numId w:val="11"/>
        </w:numPr>
        <w:jc w:val="both"/>
        <w:rPr>
          <w:rFonts w:ascii="Times New Roman" w:hAnsi="Times New Roman" w:cs="Times New Roman"/>
          <w:sz w:val="20"/>
          <w:szCs w:val="20"/>
        </w:rPr>
      </w:pPr>
      <w:r w:rsidRPr="0065375F">
        <w:rPr>
          <w:rFonts w:ascii="Times New Roman" w:hAnsi="Times New Roman" w:cs="Times New Roman"/>
          <w:sz w:val="20"/>
          <w:szCs w:val="20"/>
        </w:rPr>
        <w:t>titoli personali: titolo di studio e conoscenza delle lingue straniere;</w:t>
      </w:r>
    </w:p>
    <w:p w:rsidR="003B49E6" w:rsidRPr="0065375F" w:rsidRDefault="003B49E6" w:rsidP="003B49E6">
      <w:pPr>
        <w:pStyle w:val="Paragrafoelenco"/>
        <w:numPr>
          <w:ilvl w:val="0"/>
          <w:numId w:val="11"/>
        </w:numPr>
        <w:jc w:val="both"/>
        <w:rPr>
          <w:rFonts w:ascii="Times New Roman" w:hAnsi="Times New Roman" w:cs="Times New Roman"/>
          <w:sz w:val="20"/>
          <w:szCs w:val="20"/>
        </w:rPr>
      </w:pPr>
      <w:r w:rsidRPr="0065375F">
        <w:rPr>
          <w:rFonts w:ascii="Times New Roman" w:hAnsi="Times New Roman" w:cs="Times New Roman"/>
          <w:sz w:val="20"/>
          <w:szCs w:val="20"/>
        </w:rPr>
        <w:t>titoli professionali: anzianità operativa nel settore ed organizzazione aziendale;</w:t>
      </w:r>
    </w:p>
    <w:p w:rsidR="003B49E6" w:rsidRPr="0065375F" w:rsidRDefault="003B49E6" w:rsidP="003B49E6">
      <w:pPr>
        <w:pStyle w:val="Paragrafoelenco"/>
        <w:numPr>
          <w:ilvl w:val="0"/>
          <w:numId w:val="11"/>
        </w:numPr>
        <w:jc w:val="both"/>
        <w:rPr>
          <w:rFonts w:ascii="Times New Roman" w:hAnsi="Times New Roman" w:cs="Times New Roman"/>
          <w:sz w:val="20"/>
          <w:szCs w:val="20"/>
        </w:rPr>
      </w:pPr>
      <w:r w:rsidRPr="0065375F">
        <w:rPr>
          <w:rFonts w:ascii="Times New Roman" w:hAnsi="Times New Roman" w:cs="Times New Roman"/>
          <w:sz w:val="20"/>
          <w:szCs w:val="20"/>
        </w:rPr>
        <w:t>situazione occupazionale e carichi di famiglia;</w:t>
      </w:r>
    </w:p>
    <w:p w:rsidR="003B49E6" w:rsidRPr="0065375F" w:rsidRDefault="003B49E6" w:rsidP="003B49E6">
      <w:pPr>
        <w:pStyle w:val="Paragrafoelenco"/>
        <w:numPr>
          <w:ilvl w:val="0"/>
          <w:numId w:val="11"/>
        </w:numPr>
        <w:jc w:val="both"/>
        <w:rPr>
          <w:rFonts w:ascii="Times New Roman" w:hAnsi="Times New Roman" w:cs="Times New Roman"/>
          <w:sz w:val="20"/>
          <w:szCs w:val="20"/>
        </w:rPr>
      </w:pPr>
      <w:r w:rsidRPr="0065375F">
        <w:rPr>
          <w:rFonts w:ascii="Times New Roman" w:hAnsi="Times New Roman" w:cs="Times New Roman"/>
          <w:sz w:val="20"/>
          <w:szCs w:val="20"/>
        </w:rPr>
        <w:t>altri titoli</w:t>
      </w:r>
      <w:r w:rsidR="0065375F" w:rsidRPr="0065375F">
        <w:rPr>
          <w:rFonts w:ascii="Times New Roman" w:hAnsi="Times New Roman" w:cs="Times New Roman"/>
          <w:sz w:val="20"/>
          <w:szCs w:val="20"/>
        </w:rPr>
        <w:t>;</w:t>
      </w:r>
    </w:p>
    <w:p w:rsidR="00C97596" w:rsidRDefault="0065375F" w:rsidP="00C97596">
      <w:pPr>
        <w:jc w:val="both"/>
        <w:rPr>
          <w:rFonts w:ascii="Times New Roman" w:hAnsi="Times New Roman" w:cs="Times New Roman"/>
          <w:sz w:val="24"/>
          <w:szCs w:val="24"/>
        </w:rPr>
      </w:pPr>
      <w:r>
        <w:rPr>
          <w:rFonts w:ascii="Times New Roman" w:hAnsi="Times New Roman" w:cs="Times New Roman"/>
          <w:sz w:val="24"/>
          <w:szCs w:val="24"/>
        </w:rPr>
        <w:t>Tutto ciò premesso,</w:t>
      </w:r>
    </w:p>
    <w:p w:rsidR="0065375F" w:rsidRDefault="0065375F" w:rsidP="00C97596">
      <w:pPr>
        <w:jc w:val="both"/>
        <w:rPr>
          <w:rFonts w:ascii="Times New Roman" w:hAnsi="Times New Roman" w:cs="Times New Roman"/>
          <w:sz w:val="24"/>
          <w:szCs w:val="24"/>
        </w:rPr>
      </w:pPr>
      <w:r>
        <w:rPr>
          <w:rFonts w:ascii="Times New Roman" w:hAnsi="Times New Roman" w:cs="Times New Roman"/>
          <w:sz w:val="24"/>
          <w:szCs w:val="24"/>
        </w:rPr>
        <w:t>L’anno duemila ventuno, il giorno sedici del mese di novembre, alle ore 17,00, presso i locali comunali dell’Ufficio tecnico, in via Roma n. 76, si è riunita la Commissione, all’uopo nominata dal responsabile dell’Ufficio Tecnico con Determinazione n.  del  16/11/2021 e così composta:</w:t>
      </w:r>
    </w:p>
    <w:p w:rsidR="0065375F" w:rsidRDefault="0065375F" w:rsidP="0065375F">
      <w:pPr>
        <w:pStyle w:val="Paragrafoelenco"/>
        <w:numPr>
          <w:ilvl w:val="0"/>
          <w:numId w:val="13"/>
        </w:numPr>
        <w:jc w:val="both"/>
        <w:rPr>
          <w:rFonts w:ascii="Times New Roman" w:hAnsi="Times New Roman" w:cs="Times New Roman"/>
          <w:sz w:val="24"/>
          <w:szCs w:val="24"/>
        </w:rPr>
      </w:pPr>
      <w:r>
        <w:rPr>
          <w:rFonts w:ascii="Times New Roman" w:hAnsi="Times New Roman" w:cs="Times New Roman"/>
          <w:sz w:val="24"/>
          <w:szCs w:val="24"/>
        </w:rPr>
        <w:t>Presidente: Arch. Alberto Mura;</w:t>
      </w:r>
    </w:p>
    <w:p w:rsidR="0065375F" w:rsidRDefault="0065375F" w:rsidP="0065375F">
      <w:pPr>
        <w:pStyle w:val="Paragrafoelenco"/>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Componente: Ing. Gian Michele </w:t>
      </w:r>
      <w:proofErr w:type="spellStart"/>
      <w:r>
        <w:rPr>
          <w:rFonts w:ascii="Times New Roman" w:hAnsi="Times New Roman" w:cs="Times New Roman"/>
          <w:sz w:val="24"/>
          <w:szCs w:val="24"/>
        </w:rPr>
        <w:t>Coratza</w:t>
      </w:r>
      <w:proofErr w:type="spellEnd"/>
      <w:r>
        <w:rPr>
          <w:rFonts w:ascii="Times New Roman" w:hAnsi="Times New Roman" w:cs="Times New Roman"/>
          <w:sz w:val="24"/>
          <w:szCs w:val="24"/>
        </w:rPr>
        <w:t>;</w:t>
      </w:r>
    </w:p>
    <w:p w:rsidR="0065375F" w:rsidRDefault="0065375F" w:rsidP="0065375F">
      <w:pPr>
        <w:pStyle w:val="Paragrafoelenco"/>
        <w:numPr>
          <w:ilvl w:val="0"/>
          <w:numId w:val="13"/>
        </w:numPr>
        <w:jc w:val="both"/>
        <w:rPr>
          <w:rFonts w:ascii="Times New Roman" w:hAnsi="Times New Roman" w:cs="Times New Roman"/>
          <w:sz w:val="24"/>
          <w:szCs w:val="24"/>
        </w:rPr>
      </w:pPr>
      <w:r>
        <w:rPr>
          <w:rFonts w:ascii="Times New Roman" w:hAnsi="Times New Roman" w:cs="Times New Roman"/>
          <w:sz w:val="24"/>
          <w:szCs w:val="24"/>
        </w:rPr>
        <w:t>Componente e segretario verbalizzante: Dott.ssa Ilenia Addis;</w:t>
      </w:r>
    </w:p>
    <w:p w:rsidR="000E6505" w:rsidRPr="000E6505" w:rsidRDefault="0065375F" w:rsidP="000E6505">
      <w:pPr>
        <w:jc w:val="both"/>
        <w:rPr>
          <w:rFonts w:ascii="Times New Roman" w:hAnsi="Times New Roman" w:cs="Times New Roman"/>
          <w:sz w:val="24"/>
          <w:szCs w:val="24"/>
        </w:rPr>
      </w:pPr>
      <w:r>
        <w:rPr>
          <w:rFonts w:ascii="Times New Roman" w:hAnsi="Times New Roman" w:cs="Times New Roman"/>
          <w:sz w:val="24"/>
          <w:szCs w:val="24"/>
        </w:rPr>
        <w:t>Il Presidente, alle ore 17,15 apre i lavori per l’esame delle istanze pervenute e l’elaborazione della relativa graduatoria, dando atto che al protocollo generale dell’Ente, entro il termine stabilito dal bando di concorso, sono pervenute n. 2 istanze</w:t>
      </w:r>
      <w:r w:rsidR="000E6505">
        <w:rPr>
          <w:rFonts w:ascii="Times New Roman" w:hAnsi="Times New Roman" w:cs="Times New Roman"/>
          <w:sz w:val="24"/>
          <w:szCs w:val="24"/>
        </w:rPr>
        <w:t xml:space="preserve"> per l’assegnazione di n. 2 (due) autorizzazioni per </w:t>
      </w:r>
      <w:r w:rsidR="000E6505">
        <w:rPr>
          <w:rFonts w:ascii="Times New Roman" w:hAnsi="Times New Roman" w:cs="Times New Roman"/>
          <w:sz w:val="24"/>
          <w:szCs w:val="24"/>
        </w:rPr>
        <w:lastRenderedPageBreak/>
        <w:t>l’esercizio del servizio di noleggio con conducente</w:t>
      </w:r>
      <w:r w:rsidR="000E6505" w:rsidRPr="000E6505">
        <w:rPr>
          <w:rFonts w:ascii="Times New Roman" w:hAnsi="Times New Roman" w:cs="Times New Roman"/>
          <w:sz w:val="24"/>
          <w:szCs w:val="24"/>
        </w:rPr>
        <w:t xml:space="preserve"> da svolgere con autovetture fino a nove (9) posti a sedere, compreso il conducente;</w:t>
      </w:r>
    </w:p>
    <w:p w:rsidR="0065375F" w:rsidRDefault="008655FE" w:rsidP="0065375F">
      <w:pPr>
        <w:jc w:val="both"/>
        <w:rPr>
          <w:rFonts w:ascii="Times New Roman" w:hAnsi="Times New Roman" w:cs="Times New Roman"/>
          <w:sz w:val="24"/>
          <w:szCs w:val="24"/>
        </w:rPr>
      </w:pPr>
      <w:r>
        <w:rPr>
          <w:rFonts w:ascii="Times New Roman" w:hAnsi="Times New Roman" w:cs="Times New Roman"/>
          <w:sz w:val="24"/>
          <w:szCs w:val="24"/>
        </w:rPr>
        <w:t>La commissione procede all’esame delle istanze verificando la sussistenza dei requisiti per l’ammissione ed esercizio del servizio di noleggio con conducente;</w:t>
      </w:r>
    </w:p>
    <w:p w:rsidR="008655FE" w:rsidRDefault="008655FE" w:rsidP="0065375F">
      <w:pPr>
        <w:jc w:val="both"/>
        <w:rPr>
          <w:rFonts w:ascii="Times New Roman" w:hAnsi="Times New Roman" w:cs="Times New Roman"/>
          <w:sz w:val="24"/>
          <w:szCs w:val="24"/>
        </w:rPr>
      </w:pPr>
      <w:r>
        <w:rPr>
          <w:rFonts w:ascii="Times New Roman" w:hAnsi="Times New Roman" w:cs="Times New Roman"/>
          <w:sz w:val="24"/>
          <w:szCs w:val="24"/>
        </w:rPr>
        <w:t xml:space="preserve"> Dall’esame della documentazione vengono ammessi i due concorrenti;</w:t>
      </w:r>
    </w:p>
    <w:p w:rsidR="008655FE" w:rsidRDefault="008655FE" w:rsidP="0065375F">
      <w:pPr>
        <w:jc w:val="both"/>
        <w:rPr>
          <w:rFonts w:ascii="Times New Roman" w:hAnsi="Times New Roman" w:cs="Times New Roman"/>
          <w:sz w:val="24"/>
          <w:szCs w:val="24"/>
        </w:rPr>
      </w:pPr>
      <w:r>
        <w:rPr>
          <w:rFonts w:ascii="Times New Roman" w:hAnsi="Times New Roman" w:cs="Times New Roman"/>
          <w:sz w:val="24"/>
          <w:szCs w:val="24"/>
        </w:rPr>
        <w:t>La commissione decide di non procedere alla valutazione dei titoli ai fini della formazione della graduatoria, stante la coincidenza del numero delle licenze in capo al Comune di Modolo con il numero dei concorrenti;</w:t>
      </w:r>
    </w:p>
    <w:p w:rsidR="008655FE" w:rsidRDefault="008655FE" w:rsidP="0065375F">
      <w:pPr>
        <w:jc w:val="both"/>
        <w:rPr>
          <w:rFonts w:ascii="Times New Roman" w:hAnsi="Times New Roman" w:cs="Times New Roman"/>
          <w:sz w:val="24"/>
          <w:szCs w:val="24"/>
        </w:rPr>
      </w:pPr>
      <w:r>
        <w:rPr>
          <w:rFonts w:ascii="Times New Roman" w:hAnsi="Times New Roman" w:cs="Times New Roman"/>
          <w:sz w:val="24"/>
          <w:szCs w:val="24"/>
        </w:rPr>
        <w:t>Pertanto, la Commissione</w:t>
      </w:r>
    </w:p>
    <w:p w:rsidR="008655FE" w:rsidRDefault="008655FE" w:rsidP="009D5052">
      <w:pPr>
        <w:jc w:val="center"/>
        <w:rPr>
          <w:rFonts w:ascii="Times New Roman" w:hAnsi="Times New Roman" w:cs="Times New Roman"/>
          <w:sz w:val="24"/>
          <w:szCs w:val="24"/>
        </w:rPr>
      </w:pPr>
      <w:r>
        <w:rPr>
          <w:rFonts w:ascii="Times New Roman" w:hAnsi="Times New Roman" w:cs="Times New Roman"/>
          <w:sz w:val="24"/>
          <w:szCs w:val="24"/>
        </w:rPr>
        <w:t>APPROVA</w:t>
      </w:r>
    </w:p>
    <w:p w:rsidR="008655FE" w:rsidRDefault="008655FE" w:rsidP="0065375F">
      <w:pPr>
        <w:jc w:val="both"/>
        <w:rPr>
          <w:rFonts w:ascii="Times New Roman" w:hAnsi="Times New Roman" w:cs="Times New Roman"/>
          <w:sz w:val="24"/>
          <w:szCs w:val="24"/>
        </w:rPr>
      </w:pPr>
      <w:r>
        <w:rPr>
          <w:rFonts w:ascii="Times New Roman" w:hAnsi="Times New Roman" w:cs="Times New Roman"/>
          <w:sz w:val="24"/>
          <w:szCs w:val="24"/>
        </w:rPr>
        <w:t xml:space="preserve">la graduatoria provvisoria per l’assegnazione delle n. 2 </w:t>
      </w:r>
      <w:r w:rsidR="009D5052" w:rsidRPr="009D5052">
        <w:rPr>
          <w:rFonts w:ascii="Times New Roman" w:hAnsi="Times New Roman" w:cs="Times New Roman"/>
          <w:sz w:val="24"/>
          <w:szCs w:val="24"/>
        </w:rPr>
        <w:t>autorizzazioni per l'esercizio del servizio di noleggio con conducente da svolgere con autovetture fino a nove (9) posti a sedere, compreso il conducente</w:t>
      </w:r>
      <w:r w:rsidR="009D5052">
        <w:rPr>
          <w:rFonts w:ascii="Times New Roman" w:hAnsi="Times New Roman" w:cs="Times New Roman"/>
          <w:sz w:val="24"/>
          <w:szCs w:val="24"/>
        </w:rPr>
        <w:t>, giusto allegato A del presente verbale</w:t>
      </w:r>
      <w:r w:rsidR="009D5052" w:rsidRPr="009D5052">
        <w:rPr>
          <w:rFonts w:ascii="Times New Roman" w:hAnsi="Times New Roman" w:cs="Times New Roman"/>
          <w:sz w:val="24"/>
          <w:szCs w:val="24"/>
        </w:rPr>
        <w:t>;</w:t>
      </w:r>
    </w:p>
    <w:p w:rsidR="009D5052" w:rsidRDefault="009D5052" w:rsidP="0065375F">
      <w:pPr>
        <w:jc w:val="both"/>
        <w:rPr>
          <w:rFonts w:ascii="Times New Roman" w:hAnsi="Times New Roman" w:cs="Times New Roman"/>
          <w:sz w:val="24"/>
          <w:szCs w:val="24"/>
        </w:rPr>
      </w:pPr>
      <w:r>
        <w:rPr>
          <w:rFonts w:ascii="Times New Roman" w:hAnsi="Times New Roman" w:cs="Times New Roman"/>
          <w:sz w:val="24"/>
          <w:szCs w:val="24"/>
        </w:rPr>
        <w:t>La Graduatoria di cui all’allegato A, che costituisce parte integrante del presente verbale, viene trasmessa al Responsabile dell’Area Tecnica per gli ulteriori adempimenti del caso.</w:t>
      </w:r>
    </w:p>
    <w:p w:rsidR="009D5052" w:rsidRDefault="009D5052" w:rsidP="0065375F">
      <w:pPr>
        <w:jc w:val="both"/>
        <w:rPr>
          <w:rFonts w:ascii="Times New Roman" w:hAnsi="Times New Roman" w:cs="Times New Roman"/>
          <w:sz w:val="24"/>
          <w:szCs w:val="24"/>
        </w:rPr>
      </w:pPr>
      <w:r>
        <w:rPr>
          <w:rFonts w:ascii="Times New Roman" w:hAnsi="Times New Roman" w:cs="Times New Roman"/>
          <w:sz w:val="24"/>
          <w:szCs w:val="24"/>
        </w:rPr>
        <w:t>Letto, confermato e sottoscritto,</w:t>
      </w:r>
    </w:p>
    <w:p w:rsidR="009D5052" w:rsidRDefault="009D5052" w:rsidP="0065375F">
      <w:pPr>
        <w:jc w:val="both"/>
        <w:rPr>
          <w:rFonts w:ascii="Times New Roman" w:hAnsi="Times New Roman" w:cs="Times New Roman"/>
          <w:sz w:val="24"/>
          <w:szCs w:val="24"/>
        </w:rPr>
      </w:pPr>
      <w:r>
        <w:rPr>
          <w:rFonts w:ascii="Times New Roman" w:hAnsi="Times New Roman" w:cs="Times New Roman"/>
          <w:sz w:val="24"/>
          <w:szCs w:val="24"/>
        </w:rPr>
        <w:t xml:space="preserve">Modolo, </w:t>
      </w:r>
      <w:r w:rsidR="00EC746D">
        <w:rPr>
          <w:rFonts w:ascii="Times New Roman" w:hAnsi="Times New Roman" w:cs="Times New Roman"/>
          <w:sz w:val="24"/>
          <w:szCs w:val="24"/>
        </w:rPr>
        <w:t>16/11/2021</w:t>
      </w:r>
    </w:p>
    <w:p w:rsidR="009D5052" w:rsidRDefault="009D5052" w:rsidP="0065375F">
      <w:pPr>
        <w:jc w:val="both"/>
        <w:rPr>
          <w:rFonts w:ascii="Times New Roman" w:hAnsi="Times New Roman" w:cs="Times New Roman"/>
          <w:sz w:val="24"/>
          <w:szCs w:val="24"/>
        </w:rPr>
      </w:pPr>
    </w:p>
    <w:p w:rsidR="009D5052" w:rsidRDefault="009D5052" w:rsidP="009D5052">
      <w:pPr>
        <w:jc w:val="right"/>
        <w:rPr>
          <w:rFonts w:ascii="Times New Roman" w:hAnsi="Times New Roman" w:cs="Times New Roman"/>
          <w:sz w:val="24"/>
          <w:szCs w:val="24"/>
        </w:rPr>
      </w:pPr>
      <w:r>
        <w:rPr>
          <w:rFonts w:ascii="Times New Roman" w:hAnsi="Times New Roman" w:cs="Times New Roman"/>
          <w:sz w:val="24"/>
          <w:szCs w:val="24"/>
        </w:rPr>
        <w:t xml:space="preserve">                                                                                                         Il Presidente</w:t>
      </w:r>
    </w:p>
    <w:p w:rsidR="009D5052" w:rsidRDefault="00EC746D" w:rsidP="009D5052">
      <w:pPr>
        <w:jc w:val="right"/>
        <w:rPr>
          <w:rFonts w:ascii="Times New Roman" w:hAnsi="Times New Roman" w:cs="Times New Roman"/>
          <w:sz w:val="24"/>
          <w:szCs w:val="24"/>
        </w:rPr>
      </w:pPr>
      <w:r>
        <w:rPr>
          <w:rFonts w:ascii="Times New Roman" w:hAnsi="Times New Roman" w:cs="Times New Roman"/>
          <w:sz w:val="24"/>
          <w:szCs w:val="24"/>
        </w:rPr>
        <w:t xml:space="preserve">f.to </w:t>
      </w:r>
      <w:r w:rsidR="009D5052">
        <w:rPr>
          <w:rFonts w:ascii="Times New Roman" w:hAnsi="Times New Roman" w:cs="Times New Roman"/>
          <w:sz w:val="24"/>
          <w:szCs w:val="24"/>
        </w:rPr>
        <w:t>Arch. Alberto Mura</w:t>
      </w:r>
    </w:p>
    <w:p w:rsidR="009D5052" w:rsidRDefault="009D5052" w:rsidP="009D5052">
      <w:pPr>
        <w:jc w:val="right"/>
        <w:rPr>
          <w:rFonts w:ascii="Times New Roman" w:hAnsi="Times New Roman" w:cs="Times New Roman"/>
          <w:sz w:val="24"/>
          <w:szCs w:val="24"/>
        </w:rPr>
      </w:pPr>
    </w:p>
    <w:p w:rsidR="009D5052" w:rsidRDefault="009D5052" w:rsidP="009D5052">
      <w:pPr>
        <w:jc w:val="right"/>
        <w:rPr>
          <w:rFonts w:ascii="Times New Roman" w:hAnsi="Times New Roman" w:cs="Times New Roman"/>
          <w:sz w:val="24"/>
          <w:szCs w:val="24"/>
        </w:rPr>
      </w:pPr>
    </w:p>
    <w:p w:rsidR="009D5052" w:rsidRDefault="009D5052" w:rsidP="009D5052">
      <w:pPr>
        <w:jc w:val="right"/>
        <w:rPr>
          <w:rFonts w:ascii="Times New Roman" w:hAnsi="Times New Roman" w:cs="Times New Roman"/>
          <w:sz w:val="24"/>
          <w:szCs w:val="24"/>
        </w:rPr>
      </w:pPr>
      <w:r>
        <w:rPr>
          <w:rFonts w:ascii="Times New Roman" w:hAnsi="Times New Roman" w:cs="Times New Roman"/>
          <w:sz w:val="24"/>
          <w:szCs w:val="24"/>
        </w:rPr>
        <w:t>Il Componente</w:t>
      </w:r>
    </w:p>
    <w:p w:rsidR="009D5052" w:rsidRDefault="00EC746D" w:rsidP="009D5052">
      <w:pPr>
        <w:jc w:val="right"/>
        <w:rPr>
          <w:rFonts w:ascii="Times New Roman" w:hAnsi="Times New Roman" w:cs="Times New Roman"/>
          <w:sz w:val="24"/>
          <w:szCs w:val="24"/>
        </w:rPr>
      </w:pPr>
      <w:r>
        <w:rPr>
          <w:rFonts w:ascii="Times New Roman" w:hAnsi="Times New Roman" w:cs="Times New Roman"/>
          <w:sz w:val="24"/>
          <w:szCs w:val="24"/>
        </w:rPr>
        <w:t xml:space="preserve">f.to </w:t>
      </w:r>
      <w:r w:rsidR="009D5052">
        <w:rPr>
          <w:rFonts w:ascii="Times New Roman" w:hAnsi="Times New Roman" w:cs="Times New Roman"/>
          <w:sz w:val="24"/>
          <w:szCs w:val="24"/>
        </w:rPr>
        <w:t xml:space="preserve">Ing. Gian Michele </w:t>
      </w:r>
      <w:proofErr w:type="spellStart"/>
      <w:r w:rsidR="009D5052">
        <w:rPr>
          <w:rFonts w:ascii="Times New Roman" w:hAnsi="Times New Roman" w:cs="Times New Roman"/>
          <w:sz w:val="24"/>
          <w:szCs w:val="24"/>
        </w:rPr>
        <w:t>Coratza</w:t>
      </w:r>
      <w:proofErr w:type="spellEnd"/>
    </w:p>
    <w:p w:rsidR="009D5052" w:rsidRDefault="009D5052" w:rsidP="009D5052">
      <w:pPr>
        <w:jc w:val="right"/>
        <w:rPr>
          <w:rFonts w:ascii="Times New Roman" w:hAnsi="Times New Roman" w:cs="Times New Roman"/>
          <w:sz w:val="24"/>
          <w:szCs w:val="24"/>
        </w:rPr>
      </w:pPr>
    </w:p>
    <w:p w:rsidR="009D5052" w:rsidRDefault="009D5052" w:rsidP="009D5052">
      <w:pPr>
        <w:jc w:val="right"/>
        <w:rPr>
          <w:rFonts w:ascii="Times New Roman" w:hAnsi="Times New Roman" w:cs="Times New Roman"/>
          <w:sz w:val="24"/>
          <w:szCs w:val="24"/>
        </w:rPr>
      </w:pPr>
    </w:p>
    <w:p w:rsidR="009D5052" w:rsidRDefault="009D5052" w:rsidP="009D5052">
      <w:pPr>
        <w:jc w:val="right"/>
        <w:rPr>
          <w:rFonts w:ascii="Times New Roman" w:hAnsi="Times New Roman" w:cs="Times New Roman"/>
          <w:sz w:val="24"/>
          <w:szCs w:val="24"/>
        </w:rPr>
      </w:pPr>
      <w:r>
        <w:rPr>
          <w:rFonts w:ascii="Times New Roman" w:hAnsi="Times New Roman" w:cs="Times New Roman"/>
          <w:sz w:val="24"/>
          <w:szCs w:val="24"/>
        </w:rPr>
        <w:t xml:space="preserve">Il componente e segretario </w:t>
      </w:r>
    </w:p>
    <w:p w:rsidR="009D5052" w:rsidRPr="0065375F" w:rsidRDefault="00EC746D" w:rsidP="009D5052">
      <w:pPr>
        <w:jc w:val="right"/>
        <w:rPr>
          <w:rFonts w:ascii="Times New Roman" w:hAnsi="Times New Roman" w:cs="Times New Roman"/>
          <w:sz w:val="24"/>
          <w:szCs w:val="24"/>
        </w:rPr>
      </w:pPr>
      <w:r>
        <w:rPr>
          <w:rFonts w:ascii="Times New Roman" w:hAnsi="Times New Roman" w:cs="Times New Roman"/>
          <w:sz w:val="24"/>
          <w:szCs w:val="24"/>
        </w:rPr>
        <w:t xml:space="preserve">f.to </w:t>
      </w:r>
      <w:r w:rsidR="009D5052">
        <w:rPr>
          <w:rFonts w:ascii="Times New Roman" w:hAnsi="Times New Roman" w:cs="Times New Roman"/>
          <w:sz w:val="24"/>
          <w:szCs w:val="24"/>
        </w:rPr>
        <w:t>Dott.ssa Ilenia Addis</w:t>
      </w:r>
    </w:p>
    <w:sectPr w:rsidR="009D5052" w:rsidRPr="0065375F" w:rsidSect="00D42530">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FEE" w:rsidRDefault="005C3FEE" w:rsidP="00A912A7">
      <w:pPr>
        <w:spacing w:after="0" w:line="240" w:lineRule="auto"/>
      </w:pPr>
      <w:r>
        <w:separator/>
      </w:r>
    </w:p>
  </w:endnote>
  <w:endnote w:type="continuationSeparator" w:id="0">
    <w:p w:rsidR="005C3FEE" w:rsidRDefault="005C3FEE" w:rsidP="00A9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A7" w:rsidRDefault="00A912A7" w:rsidP="00637921">
    <w:pPr>
      <w:pStyle w:val="Pidipagina"/>
    </w:pPr>
  </w:p>
  <w:p w:rsidR="00A912A7" w:rsidRDefault="00A912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FEE" w:rsidRDefault="005C3FEE" w:rsidP="00A912A7">
      <w:pPr>
        <w:spacing w:after="0" w:line="240" w:lineRule="auto"/>
      </w:pPr>
      <w:r>
        <w:separator/>
      </w:r>
    </w:p>
  </w:footnote>
  <w:footnote w:type="continuationSeparator" w:id="0">
    <w:p w:rsidR="005C3FEE" w:rsidRDefault="005C3FEE" w:rsidP="00A91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E50DDC"/>
    <w:multiLevelType w:val="multilevel"/>
    <w:tmpl w:val="E1FAB232"/>
    <w:lvl w:ilvl="0">
      <w:start w:val="10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7E73693"/>
    <w:multiLevelType w:val="hybridMultilevel"/>
    <w:tmpl w:val="7C565E96"/>
    <w:lvl w:ilvl="0" w:tplc="61A8CA60">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734CDF"/>
    <w:multiLevelType w:val="multilevel"/>
    <w:tmpl w:val="88D622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F779D"/>
    <w:multiLevelType w:val="multilevel"/>
    <w:tmpl w:val="4E626F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7628C"/>
    <w:multiLevelType w:val="hybridMultilevel"/>
    <w:tmpl w:val="DE4C96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757D4B"/>
    <w:multiLevelType w:val="multilevel"/>
    <w:tmpl w:val="0E4CB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955327"/>
    <w:multiLevelType w:val="multilevel"/>
    <w:tmpl w:val="98AC7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33581"/>
    <w:multiLevelType w:val="hybridMultilevel"/>
    <w:tmpl w:val="B4BAC6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681B76"/>
    <w:multiLevelType w:val="multilevel"/>
    <w:tmpl w:val="52C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B6B78"/>
    <w:multiLevelType w:val="multilevel"/>
    <w:tmpl w:val="366AD4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290578"/>
    <w:multiLevelType w:val="multilevel"/>
    <w:tmpl w:val="F3F0040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FE6C8E"/>
    <w:multiLevelType w:val="hybridMultilevel"/>
    <w:tmpl w:val="D4C04094"/>
    <w:lvl w:ilvl="0" w:tplc="3030FAE6">
      <w:start w:val="1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1"/>
  </w:num>
  <w:num w:numId="6">
    <w:abstractNumId w:val="11"/>
  </w:num>
  <w:num w:numId="7">
    <w:abstractNumId w:val="7"/>
  </w:num>
  <w:num w:numId="8">
    <w:abstractNumId w:val="6"/>
  </w:num>
  <w:num w:numId="9">
    <w:abstractNumId w:val="0"/>
  </w:num>
  <w:num w:numId="10">
    <w:abstractNumId w:val="8"/>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A7"/>
    <w:rsid w:val="000B53B7"/>
    <w:rsid w:val="000E6505"/>
    <w:rsid w:val="001040DD"/>
    <w:rsid w:val="00306975"/>
    <w:rsid w:val="00341FBF"/>
    <w:rsid w:val="003464EC"/>
    <w:rsid w:val="003928D7"/>
    <w:rsid w:val="003B49E6"/>
    <w:rsid w:val="004A590E"/>
    <w:rsid w:val="005519FC"/>
    <w:rsid w:val="005C3FEE"/>
    <w:rsid w:val="005C6C19"/>
    <w:rsid w:val="00637921"/>
    <w:rsid w:val="0065375F"/>
    <w:rsid w:val="00655658"/>
    <w:rsid w:val="00664113"/>
    <w:rsid w:val="0067059F"/>
    <w:rsid w:val="006B7FD0"/>
    <w:rsid w:val="007316A4"/>
    <w:rsid w:val="00770187"/>
    <w:rsid w:val="007E6548"/>
    <w:rsid w:val="007F3183"/>
    <w:rsid w:val="007F41F3"/>
    <w:rsid w:val="008066C9"/>
    <w:rsid w:val="00835F30"/>
    <w:rsid w:val="008655FE"/>
    <w:rsid w:val="009428F0"/>
    <w:rsid w:val="009514D7"/>
    <w:rsid w:val="00957505"/>
    <w:rsid w:val="00996E7D"/>
    <w:rsid w:val="009B213B"/>
    <w:rsid w:val="009D5052"/>
    <w:rsid w:val="009F1A15"/>
    <w:rsid w:val="00A912A7"/>
    <w:rsid w:val="00B023AF"/>
    <w:rsid w:val="00C97596"/>
    <w:rsid w:val="00CB3BD6"/>
    <w:rsid w:val="00CC5429"/>
    <w:rsid w:val="00CE5AE2"/>
    <w:rsid w:val="00D42530"/>
    <w:rsid w:val="00D55297"/>
    <w:rsid w:val="00D77FFE"/>
    <w:rsid w:val="00DA235B"/>
    <w:rsid w:val="00DB3561"/>
    <w:rsid w:val="00DC1AD8"/>
    <w:rsid w:val="00DF5F12"/>
    <w:rsid w:val="00E14DEA"/>
    <w:rsid w:val="00EC746D"/>
    <w:rsid w:val="00ED3D24"/>
    <w:rsid w:val="00EE3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7B240-EA50-42F3-B034-1E4B5F98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25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912A7"/>
    <w:pPr>
      <w:spacing w:before="100" w:beforeAutospacing="1" w:after="119"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912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12A7"/>
  </w:style>
  <w:style w:type="paragraph" w:styleId="Pidipagina">
    <w:name w:val="footer"/>
    <w:basedOn w:val="Normale"/>
    <w:link w:val="PidipaginaCarattere"/>
    <w:uiPriority w:val="99"/>
    <w:unhideWhenUsed/>
    <w:rsid w:val="00A912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12A7"/>
  </w:style>
  <w:style w:type="character" w:styleId="Collegamentoipertestuale">
    <w:name w:val="Hyperlink"/>
    <w:semiHidden/>
    <w:rsid w:val="000B53B7"/>
    <w:rPr>
      <w:color w:val="000080"/>
      <w:u w:val="single"/>
    </w:rPr>
  </w:style>
  <w:style w:type="paragraph" w:styleId="Corpotesto">
    <w:name w:val="Body Text"/>
    <w:basedOn w:val="Normale"/>
    <w:link w:val="CorpotestoCarattere"/>
    <w:semiHidden/>
    <w:rsid w:val="000B53B7"/>
    <w:pPr>
      <w:widowControl w:val="0"/>
      <w:suppressAutoHyphens/>
      <w:spacing w:after="120" w:line="100" w:lineRule="atLeast"/>
    </w:pPr>
    <w:rPr>
      <w:rFonts w:ascii="Times New Roman" w:eastAsia="Arial Unicode MS" w:hAnsi="Times New Roman" w:cs="Times New Roman"/>
      <w:kern w:val="1"/>
      <w:sz w:val="24"/>
      <w:szCs w:val="24"/>
    </w:rPr>
  </w:style>
  <w:style w:type="character" w:customStyle="1" w:styleId="CorpotestoCarattere">
    <w:name w:val="Corpo testo Carattere"/>
    <w:basedOn w:val="Carpredefinitoparagrafo"/>
    <w:link w:val="Corpotesto"/>
    <w:semiHidden/>
    <w:rsid w:val="000B53B7"/>
    <w:rPr>
      <w:rFonts w:ascii="Times New Roman" w:eastAsia="Arial Unicode MS" w:hAnsi="Times New Roman" w:cs="Times New Roman"/>
      <w:kern w:val="1"/>
      <w:sz w:val="24"/>
      <w:szCs w:val="24"/>
    </w:rPr>
  </w:style>
  <w:style w:type="paragraph" w:customStyle="1" w:styleId="Contenutotabella">
    <w:name w:val="Contenuto tabella"/>
    <w:basedOn w:val="Normale"/>
    <w:rsid w:val="000B53B7"/>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styleId="Testofumetto">
    <w:name w:val="Balloon Text"/>
    <w:basedOn w:val="Normale"/>
    <w:link w:val="TestofumettoCarattere"/>
    <w:uiPriority w:val="99"/>
    <w:semiHidden/>
    <w:unhideWhenUsed/>
    <w:rsid w:val="000B53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53B7"/>
    <w:rPr>
      <w:rFonts w:ascii="Tahoma" w:hAnsi="Tahoma" w:cs="Tahoma"/>
      <w:sz w:val="16"/>
      <w:szCs w:val="16"/>
    </w:rPr>
  </w:style>
  <w:style w:type="paragraph" w:styleId="Paragrafoelenco">
    <w:name w:val="List Paragraph"/>
    <w:basedOn w:val="Normale"/>
    <w:uiPriority w:val="34"/>
    <w:qFormat/>
    <w:rsid w:val="003B4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6351">
      <w:bodyDiv w:val="1"/>
      <w:marLeft w:val="0"/>
      <w:marRight w:val="0"/>
      <w:marTop w:val="0"/>
      <w:marBottom w:val="0"/>
      <w:divBdr>
        <w:top w:val="none" w:sz="0" w:space="0" w:color="auto"/>
        <w:left w:val="none" w:sz="0" w:space="0" w:color="auto"/>
        <w:bottom w:val="none" w:sz="0" w:space="0" w:color="auto"/>
        <w:right w:val="none" w:sz="0" w:space="0" w:color="auto"/>
      </w:divBdr>
    </w:div>
    <w:div w:id="1018392696">
      <w:bodyDiv w:val="1"/>
      <w:marLeft w:val="0"/>
      <w:marRight w:val="0"/>
      <w:marTop w:val="0"/>
      <w:marBottom w:val="0"/>
      <w:divBdr>
        <w:top w:val="none" w:sz="0" w:space="0" w:color="auto"/>
        <w:left w:val="none" w:sz="0" w:space="0" w:color="auto"/>
        <w:bottom w:val="none" w:sz="0" w:space="0" w:color="auto"/>
        <w:right w:val="none" w:sz="0" w:space="0" w:color="auto"/>
      </w:divBdr>
    </w:div>
    <w:div w:id="18146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rghiautenticiditalia.it/" TargetMode="External"/><Relationship Id="rId5" Type="http://schemas.openxmlformats.org/officeDocument/2006/relationships/footnotes" Target="footnotes.xml"/><Relationship Id="rId10" Type="http://schemas.openxmlformats.org/officeDocument/2006/relationships/hyperlink" Target="mailto:relazioni@borghiautenticiditali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sindaco</dc:creator>
  <cp:keywords/>
  <dc:description/>
  <cp:lastModifiedBy>ilenia</cp:lastModifiedBy>
  <cp:revision>2</cp:revision>
  <cp:lastPrinted>2021-10-08T11:35:00Z</cp:lastPrinted>
  <dcterms:created xsi:type="dcterms:W3CDTF">2021-11-18T09:30:00Z</dcterms:created>
  <dcterms:modified xsi:type="dcterms:W3CDTF">2021-11-18T09:30:00Z</dcterms:modified>
</cp:coreProperties>
</file>